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Default="009500DC">
      <w:pPr>
        <w:pStyle w:val="Nadpis1"/>
        <w:spacing w:before="0" w:after="0" w:line="240" w:lineRule="auto"/>
        <w:jc w:val="both"/>
        <w:rPr>
          <w:rFonts w:ascii="Arial Black" w:hAnsi="Arial Black"/>
          <w:b w:val="0"/>
          <w:bCs w:val="0"/>
          <w:color w:val="000000"/>
          <w:u w:color="000000"/>
        </w:rPr>
      </w:pPr>
      <w:r>
        <w:rPr>
          <w:rFonts w:ascii="Arial Black" w:hAnsi="Arial Black"/>
          <w:b w:val="0"/>
          <w:bCs w:val="0"/>
          <w:color w:val="000000"/>
          <w:u w:color="000000"/>
        </w:rPr>
        <w:t xml:space="preserve">Nová výstava v TMB připomene sté výročí 43. pěšího pluku </w:t>
      </w:r>
    </w:p>
    <w:p w:rsidR="00416DE4" w:rsidRPr="00416DE4" w:rsidRDefault="00416DE4">
      <w:pPr>
        <w:pStyle w:val="Nadpis1"/>
        <w:spacing w:before="0" w:after="0" w:line="240" w:lineRule="auto"/>
        <w:jc w:val="both"/>
        <w:rPr>
          <w:rFonts w:ascii="Arial Black" w:hAnsi="Arial Black"/>
          <w:b w:val="0"/>
          <w:bCs w:val="0"/>
          <w:color w:val="000000"/>
          <w:sz w:val="16"/>
          <w:szCs w:val="16"/>
          <w:u w:color="000000"/>
        </w:rPr>
      </w:pPr>
    </w:p>
    <w:p w:rsidR="00432D3A" w:rsidRDefault="00DB1851" w:rsidP="0062769F">
      <w:pPr>
        <w:spacing w:before="100" w:after="100" w:line="288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>
        <w:rPr>
          <w:rFonts w:ascii="Arial" w:eastAsia="Arial Black" w:hAnsi="Arial" w:cs="Arial"/>
          <w:sz w:val="22"/>
          <w:szCs w:val="22"/>
          <w:lang w:val="cs-CZ"/>
        </w:rPr>
        <w:t>Od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432D3A" w:rsidRPr="00125C1D">
        <w:rPr>
          <w:rFonts w:ascii="Arial" w:eastAsia="Arial Black" w:hAnsi="Arial" w:cs="Arial"/>
          <w:sz w:val="22"/>
          <w:szCs w:val="22"/>
          <w:lang w:val="cs-CZ"/>
        </w:rPr>
        <w:t xml:space="preserve">úterý 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 xml:space="preserve">23. </w:t>
      </w:r>
      <w:r w:rsidR="005F0763">
        <w:rPr>
          <w:rFonts w:ascii="Arial" w:eastAsia="Arial Black" w:hAnsi="Arial" w:cs="Arial"/>
          <w:sz w:val="22"/>
          <w:szCs w:val="22"/>
          <w:lang w:val="cs-CZ"/>
        </w:rPr>
        <w:t>června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 xml:space="preserve"> 2020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 mají 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>návštěvníc</w:t>
      </w:r>
      <w:r w:rsidR="00125C1D">
        <w:rPr>
          <w:rFonts w:ascii="Arial" w:eastAsia="Arial Black" w:hAnsi="Arial" w:cs="Arial"/>
          <w:sz w:val="22"/>
          <w:szCs w:val="22"/>
          <w:lang w:val="cs-CZ"/>
        </w:rPr>
        <w:t>i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 xml:space="preserve"> Technického muzea v Brně možnost navštívit novou výstavu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>, kterou se i přes mimořádn</w:t>
      </w:r>
      <w:r w:rsidR="00125C1D">
        <w:rPr>
          <w:rFonts w:ascii="Arial" w:eastAsia="Arial Black" w:hAnsi="Arial" w:cs="Arial"/>
          <w:sz w:val="22"/>
          <w:szCs w:val="22"/>
          <w:lang w:val="cs-CZ"/>
        </w:rPr>
        <w:t>á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 opatření </w:t>
      </w:r>
      <w:r w:rsidR="007F577D" w:rsidRPr="00125C1D">
        <w:rPr>
          <w:rFonts w:ascii="Arial" w:eastAsia="Arial Black" w:hAnsi="Arial" w:cs="Arial"/>
          <w:sz w:val="22"/>
          <w:szCs w:val="22"/>
          <w:lang w:val="cs-CZ"/>
        </w:rPr>
        <w:t xml:space="preserve">v souvislosti s pandemii COVID-19 </w:t>
      </w:r>
      <w:r>
        <w:rPr>
          <w:rFonts w:ascii="Arial" w:eastAsia="Arial Black" w:hAnsi="Arial" w:cs="Arial"/>
          <w:sz w:val="22"/>
          <w:szCs w:val="22"/>
          <w:lang w:val="cs-CZ"/>
        </w:rPr>
        <w:t>podařilo</w:t>
      </w:r>
      <w:r w:rsidR="00125C1D">
        <w:rPr>
          <w:rFonts w:ascii="Arial" w:eastAsia="Arial Black" w:hAnsi="Arial" w:cs="Arial"/>
          <w:sz w:val="22"/>
          <w:szCs w:val="22"/>
          <w:lang w:val="cs-CZ"/>
        </w:rPr>
        <w:t>, i když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 v</w:t>
      </w:r>
      <w:r w:rsidR="00C05C35" w:rsidRPr="00125C1D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7F577D" w:rsidRPr="00125C1D">
        <w:rPr>
          <w:rFonts w:ascii="Arial" w:eastAsia="Arial Black" w:hAnsi="Arial" w:cs="Arial"/>
          <w:sz w:val="22"/>
          <w:szCs w:val="22"/>
          <w:lang w:val="cs-CZ"/>
        </w:rPr>
        <w:t xml:space="preserve">poněkud 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>komornějším charakteru</w:t>
      </w:r>
      <w:r w:rsidR="00125C1D">
        <w:rPr>
          <w:rFonts w:ascii="Arial" w:eastAsia="Arial Black" w:hAnsi="Arial" w:cs="Arial"/>
          <w:sz w:val="22"/>
          <w:szCs w:val="22"/>
          <w:lang w:val="cs-CZ"/>
        </w:rPr>
        <w:t>, otevřít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. </w:t>
      </w:r>
    </w:p>
    <w:p w:rsidR="00E50CAC" w:rsidRPr="007E10B0" w:rsidRDefault="00E50CAC" w:rsidP="007E10B0">
      <w:pPr>
        <w:spacing w:before="100" w:after="100" w:line="288" w:lineRule="auto"/>
        <w:rPr>
          <w:rFonts w:ascii="Arial" w:eastAsia="Arial Black" w:hAnsi="Arial" w:cs="Arial"/>
          <w:b/>
          <w:sz w:val="22"/>
          <w:szCs w:val="22"/>
          <w:lang w:val="cs-CZ"/>
        </w:rPr>
      </w:pPr>
      <w:r w:rsidRPr="00280C3D">
        <w:rPr>
          <w:rFonts w:ascii="Arial" w:eastAsia="Arial Black" w:hAnsi="Arial" w:cs="Arial"/>
          <w:sz w:val="22"/>
          <w:szCs w:val="22"/>
          <w:lang w:val="cs-CZ"/>
        </w:rPr>
        <w:t xml:space="preserve">Výstava s </w:t>
      </w:r>
      <w:r w:rsidRPr="007E10B0">
        <w:rPr>
          <w:rFonts w:ascii="Arial" w:eastAsia="Arial Black" w:hAnsi="Arial" w:cs="Arial"/>
          <w:sz w:val="22"/>
          <w:szCs w:val="22"/>
          <w:lang w:val="cs-CZ"/>
        </w:rPr>
        <w:t>názvem</w:t>
      </w:r>
      <w:r w:rsidRPr="00416DE4">
        <w:rPr>
          <w:rFonts w:ascii="Arial" w:eastAsia="Arial Black" w:hAnsi="Arial" w:cs="Arial"/>
          <w:b/>
          <w:sz w:val="22"/>
          <w:szCs w:val="22"/>
          <w:lang w:val="cs-CZ"/>
        </w:rPr>
        <w:t xml:space="preserve"> </w:t>
      </w:r>
      <w:r w:rsidR="007E10B0">
        <w:rPr>
          <w:rFonts w:ascii="Arial" w:eastAsia="Arial Black" w:hAnsi="Arial" w:cs="Arial"/>
          <w:b/>
          <w:sz w:val="22"/>
          <w:szCs w:val="22"/>
          <w:lang w:val="cs-CZ"/>
        </w:rPr>
        <w:t xml:space="preserve">100 let 43. pěšího pluku v Brně </w:t>
      </w:r>
      <w:r w:rsidRPr="00280C3D">
        <w:rPr>
          <w:rFonts w:ascii="Arial" w:eastAsia="Arial Black" w:hAnsi="Arial" w:cs="Arial"/>
          <w:sz w:val="22"/>
          <w:szCs w:val="22"/>
          <w:lang w:val="cs-CZ"/>
        </w:rPr>
        <w:t xml:space="preserve">je věnovaná památce všech vojáků, kteří bojovali za svobodné Československo a zabránili fašistickému puči v noci z 21. na 22. ledna 1933. 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>Připomene t</w:t>
      </w:r>
      <w:r w:rsidRPr="00280C3D">
        <w:rPr>
          <w:rFonts w:ascii="Arial" w:eastAsia="Arial Black" w:hAnsi="Arial" w:cs="Arial"/>
          <w:sz w:val="22"/>
          <w:szCs w:val="22"/>
          <w:lang w:val="cs-CZ"/>
        </w:rPr>
        <w:t xml:space="preserve">uto událost i historii 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>pluku. Její podstatnou</w:t>
      </w:r>
      <w:r w:rsidR="00071A4B" w:rsidRPr="00280C3D">
        <w:rPr>
          <w:rFonts w:ascii="Arial" w:eastAsia="Arial Black" w:hAnsi="Arial" w:cs="Arial"/>
          <w:sz w:val="22"/>
          <w:szCs w:val="22"/>
          <w:lang w:val="cs-CZ"/>
        </w:rPr>
        <w:t xml:space="preserve"> část 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>realizuje</w:t>
      </w:r>
      <w:r w:rsidR="00071A4B" w:rsidRPr="00280C3D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 xml:space="preserve">Technické muzeum v Brně </w:t>
      </w:r>
      <w:r w:rsidR="00071A4B" w:rsidRPr="00280C3D">
        <w:rPr>
          <w:rFonts w:ascii="Arial" w:eastAsia="Arial Black" w:hAnsi="Arial" w:cs="Arial"/>
          <w:sz w:val="22"/>
          <w:szCs w:val="22"/>
          <w:lang w:val="cs-CZ"/>
        </w:rPr>
        <w:t>ve spolupráci s Klubem vojenské historie</w:t>
      </w:r>
      <w:r w:rsidR="00280C3D" w:rsidRPr="00280C3D">
        <w:rPr>
          <w:rFonts w:ascii="Arial" w:eastAsia="Arial Black" w:hAnsi="Arial" w:cs="Arial"/>
          <w:sz w:val="22"/>
          <w:szCs w:val="22"/>
          <w:lang w:val="cs-CZ"/>
        </w:rPr>
        <w:t xml:space="preserve"> 43. pěší klub Brno. </w:t>
      </w:r>
      <w:r w:rsidR="005F0763">
        <w:rPr>
          <w:rFonts w:ascii="Arial" w:eastAsia="Arial Black" w:hAnsi="Arial" w:cs="Arial"/>
          <w:sz w:val="22"/>
          <w:szCs w:val="22"/>
          <w:lang w:val="cs-CZ"/>
        </w:rPr>
        <w:t>Výstava vznikla</w:t>
      </w:r>
      <w:r w:rsidR="005F0763" w:rsidRPr="00280C3D">
        <w:rPr>
          <w:rFonts w:ascii="Arial" w:eastAsia="Arial Black" w:hAnsi="Arial" w:cs="Arial"/>
          <w:sz w:val="22"/>
          <w:szCs w:val="22"/>
          <w:lang w:val="cs-CZ"/>
        </w:rPr>
        <w:t xml:space="preserve"> u příležitosti letošního stého výročí jeho oficiálního vzniku</w:t>
      </w:r>
      <w:r w:rsidR="005F0763">
        <w:rPr>
          <w:rFonts w:ascii="Arial" w:eastAsia="Arial Black" w:hAnsi="Arial" w:cs="Arial"/>
          <w:sz w:val="22"/>
          <w:szCs w:val="22"/>
          <w:lang w:val="cs-CZ"/>
        </w:rPr>
        <w:t>.</w:t>
      </w:r>
    </w:p>
    <w:p w:rsidR="00615F04" w:rsidRPr="00125C1D" w:rsidRDefault="0062769F" w:rsidP="0062769F">
      <w:pPr>
        <w:spacing w:line="288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 w:rsidRPr="00125C1D">
        <w:rPr>
          <w:rStyle w:val="e24kjd"/>
          <w:rFonts w:ascii="Arial" w:hAnsi="Arial" w:cs="Arial"/>
          <w:i/>
          <w:sz w:val="22"/>
          <w:szCs w:val="22"/>
          <w:lang w:val="cs-CZ"/>
        </w:rPr>
        <w:t>„</w:t>
      </w:r>
      <w:r w:rsidRPr="00125C1D">
        <w:rPr>
          <w:rFonts w:ascii="Arial" w:hAnsi="Arial" w:cs="Arial"/>
          <w:i/>
          <w:sz w:val="22"/>
          <w:szCs w:val="22"/>
          <w:lang w:val="cs-CZ"/>
        </w:rPr>
        <w:t xml:space="preserve">Výstava přibližuje vznik, historický vývoj a významné události pěšího pluku v letech 1920–1939. Představuje také Klub vojenské historie 43. pěší pluk Brno z. </w:t>
      </w:r>
      <w:proofErr w:type="gramStart"/>
      <w:r w:rsidRPr="00125C1D">
        <w:rPr>
          <w:rFonts w:ascii="Arial" w:hAnsi="Arial" w:cs="Arial"/>
          <w:i/>
          <w:sz w:val="22"/>
          <w:szCs w:val="22"/>
          <w:lang w:val="cs-CZ"/>
        </w:rPr>
        <w:t>s.</w:t>
      </w:r>
      <w:proofErr w:type="gramEnd"/>
      <w:r w:rsidRPr="00125C1D">
        <w:rPr>
          <w:rFonts w:ascii="Arial" w:hAnsi="Arial" w:cs="Arial"/>
          <w:i/>
          <w:sz w:val="22"/>
          <w:szCs w:val="22"/>
          <w:lang w:val="cs-CZ"/>
        </w:rPr>
        <w:t xml:space="preserve">, který se snaží naplňovat tradice </w:t>
      </w:r>
      <w:r w:rsidR="00280C3D">
        <w:rPr>
          <w:rFonts w:ascii="Arial" w:hAnsi="Arial" w:cs="Arial"/>
          <w:i/>
          <w:sz w:val="22"/>
          <w:szCs w:val="22"/>
          <w:lang w:val="cs-CZ"/>
        </w:rPr>
        <w:t>původního</w:t>
      </w:r>
      <w:r w:rsidRPr="00125C1D">
        <w:rPr>
          <w:rFonts w:ascii="Arial" w:hAnsi="Arial" w:cs="Arial"/>
          <w:i/>
          <w:sz w:val="22"/>
          <w:szCs w:val="22"/>
          <w:lang w:val="cs-CZ"/>
        </w:rPr>
        <w:t xml:space="preserve"> pěšího pluku od </w:t>
      </w:r>
      <w:r w:rsidR="00280C3D">
        <w:rPr>
          <w:rFonts w:ascii="Arial" w:hAnsi="Arial" w:cs="Arial"/>
          <w:i/>
          <w:sz w:val="22"/>
          <w:szCs w:val="22"/>
          <w:lang w:val="cs-CZ"/>
        </w:rPr>
        <w:t>jeho</w:t>
      </w:r>
      <w:r w:rsidRPr="00125C1D">
        <w:rPr>
          <w:rFonts w:ascii="Arial" w:hAnsi="Arial" w:cs="Arial"/>
          <w:i/>
          <w:sz w:val="22"/>
          <w:szCs w:val="22"/>
          <w:lang w:val="cs-CZ"/>
        </w:rPr>
        <w:t xml:space="preserve"> vzniku,</w:t>
      </w:r>
      <w:r w:rsidR="00DB1851">
        <w:rPr>
          <w:rFonts w:ascii="Arial" w:hAnsi="Arial" w:cs="Arial"/>
          <w:sz w:val="22"/>
          <w:szCs w:val="22"/>
          <w:lang w:val="cs-CZ"/>
        </w:rPr>
        <w:t>” přibližuje činnost k</w:t>
      </w:r>
      <w:r w:rsidRPr="00125C1D">
        <w:rPr>
          <w:rFonts w:ascii="Arial" w:hAnsi="Arial" w:cs="Arial"/>
          <w:sz w:val="22"/>
          <w:szCs w:val="22"/>
          <w:lang w:val="cs-CZ"/>
        </w:rPr>
        <w:t xml:space="preserve">lubu její předseda Milan Laštůvka. </w:t>
      </w:r>
    </w:p>
    <w:p w:rsidR="00C05C35" w:rsidRPr="00125C1D" w:rsidRDefault="00280C3D" w:rsidP="0062769F">
      <w:pPr>
        <w:spacing w:before="100" w:after="100" w:line="288" w:lineRule="auto"/>
        <w:jc w:val="both"/>
        <w:rPr>
          <w:rFonts w:ascii="Arial" w:eastAsia="Arial Black" w:hAnsi="Arial" w:cs="Arial"/>
          <w:sz w:val="22"/>
          <w:szCs w:val="22"/>
          <w:lang w:val="cs-CZ"/>
        </w:rPr>
      </w:pPr>
      <w:r>
        <w:rPr>
          <w:rFonts w:ascii="Arial" w:eastAsia="Arial Black" w:hAnsi="Arial" w:cs="Arial"/>
          <w:sz w:val="22"/>
          <w:szCs w:val="22"/>
          <w:lang w:val="cs-CZ"/>
        </w:rPr>
        <w:t xml:space="preserve">Samotná výstava </w:t>
      </w:r>
      <w:r w:rsidR="00DB1851">
        <w:rPr>
          <w:rFonts w:ascii="Arial" w:eastAsia="Arial Black" w:hAnsi="Arial" w:cs="Arial"/>
          <w:sz w:val="22"/>
          <w:szCs w:val="22"/>
          <w:lang w:val="cs-CZ"/>
        </w:rPr>
        <w:t>přibližuje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 nejen historické souvislo</w:t>
      </w:r>
      <w:r w:rsidR="00F95AA9" w:rsidRPr="00125C1D">
        <w:rPr>
          <w:rFonts w:ascii="Arial" w:eastAsia="Arial Black" w:hAnsi="Arial" w:cs="Arial"/>
          <w:sz w:val="22"/>
          <w:szCs w:val="22"/>
          <w:lang w:val="cs-CZ"/>
        </w:rPr>
        <w:t>s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ti osudové lednové noci, 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kdy </w:t>
      </w:r>
      <w:r w:rsidRPr="00125C1D">
        <w:rPr>
          <w:rFonts w:ascii="Arial" w:eastAsia="Arial Black" w:hAnsi="Arial" w:cs="Arial"/>
          <w:sz w:val="22"/>
          <w:szCs w:val="22"/>
          <w:lang w:val="cs-CZ"/>
        </w:rPr>
        <w:t xml:space="preserve">skupina členů Národní obce fašistické 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napadla 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>kasárn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a, 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ale představí </w:t>
      </w:r>
      <w:r w:rsidR="00F95AA9" w:rsidRPr="00125C1D">
        <w:rPr>
          <w:rFonts w:ascii="Arial" w:eastAsia="Arial Black" w:hAnsi="Arial" w:cs="Arial"/>
          <w:sz w:val="22"/>
          <w:szCs w:val="22"/>
          <w:lang w:val="cs-CZ"/>
        </w:rPr>
        <w:t>i</w:t>
      </w:r>
      <w:r w:rsidR="00615F04" w:rsidRPr="00125C1D">
        <w:rPr>
          <w:rFonts w:ascii="Arial" w:eastAsia="Arial Black" w:hAnsi="Arial" w:cs="Arial"/>
          <w:sz w:val="22"/>
          <w:szCs w:val="22"/>
          <w:lang w:val="cs-CZ"/>
        </w:rPr>
        <w:t xml:space="preserve"> konkrétní osudy vojáků. </w:t>
      </w:r>
      <w:r>
        <w:rPr>
          <w:rFonts w:ascii="Arial" w:eastAsia="Arial Black" w:hAnsi="Arial" w:cs="Arial"/>
          <w:sz w:val="22"/>
          <w:szCs w:val="22"/>
          <w:lang w:val="cs-CZ"/>
        </w:rPr>
        <w:t>Návštěvníci</w:t>
      </w:r>
      <w:r w:rsidR="00432D3A" w:rsidRPr="00125C1D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DB1851">
        <w:rPr>
          <w:rFonts w:ascii="Arial" w:eastAsia="Arial Black" w:hAnsi="Arial" w:cs="Arial"/>
          <w:sz w:val="22"/>
          <w:szCs w:val="22"/>
          <w:lang w:val="cs-CZ"/>
        </w:rPr>
        <w:t xml:space="preserve">si </w:t>
      </w:r>
      <w:r w:rsidR="00432D3A" w:rsidRPr="00125C1D">
        <w:rPr>
          <w:rFonts w:ascii="Arial" w:eastAsia="Arial Black" w:hAnsi="Arial" w:cs="Arial"/>
          <w:sz w:val="22"/>
          <w:szCs w:val="22"/>
          <w:lang w:val="cs-CZ"/>
        </w:rPr>
        <w:t xml:space="preserve">ve výstavě </w:t>
      </w:r>
      <w:r w:rsidR="00DB1851">
        <w:rPr>
          <w:rFonts w:ascii="Arial" w:eastAsia="Arial Black" w:hAnsi="Arial" w:cs="Arial"/>
          <w:sz w:val="22"/>
          <w:szCs w:val="22"/>
          <w:lang w:val="cs-CZ"/>
        </w:rPr>
        <w:t>prohlédnou</w:t>
      </w:r>
      <w:r w:rsidR="00432D3A" w:rsidRPr="00125C1D">
        <w:rPr>
          <w:rFonts w:ascii="Arial" w:eastAsia="Arial Black" w:hAnsi="Arial" w:cs="Arial"/>
          <w:sz w:val="22"/>
          <w:szCs w:val="22"/>
          <w:lang w:val="cs-CZ"/>
        </w:rPr>
        <w:t xml:space="preserve"> tak</w:t>
      </w:r>
      <w:r>
        <w:rPr>
          <w:rFonts w:ascii="Arial" w:eastAsia="Arial Black" w:hAnsi="Arial" w:cs="Arial"/>
          <w:sz w:val="22"/>
          <w:szCs w:val="22"/>
          <w:lang w:val="cs-CZ"/>
        </w:rPr>
        <w:t>é</w:t>
      </w:r>
      <w:r w:rsidR="00432D3A" w:rsidRPr="00125C1D">
        <w:rPr>
          <w:rFonts w:ascii="Arial" w:eastAsia="Arial Black" w:hAnsi="Arial" w:cs="Arial"/>
          <w:sz w:val="22"/>
          <w:szCs w:val="22"/>
          <w:lang w:val="cs-CZ"/>
        </w:rPr>
        <w:t xml:space="preserve"> 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>originální uniformy a j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>ej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 xml:space="preserve">ich části nebo repliku bojového praporu. Původní výstroj a výzbroj z období 1. </w:t>
      </w:r>
      <w:r w:rsidR="0062769F" w:rsidRPr="00125C1D">
        <w:rPr>
          <w:rFonts w:ascii="Arial" w:eastAsia="Arial Black" w:hAnsi="Arial" w:cs="Arial"/>
          <w:sz w:val="22"/>
          <w:szCs w:val="22"/>
          <w:lang w:val="cs-CZ"/>
        </w:rPr>
        <w:t>r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 xml:space="preserve">epubliky, která je nosnou částí výstavy, doplní 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dobové fotografie. </w:t>
      </w:r>
      <w:r w:rsidR="00DB1851">
        <w:rPr>
          <w:rFonts w:ascii="Arial" w:eastAsia="Arial Black" w:hAnsi="Arial" w:cs="Arial"/>
          <w:sz w:val="22"/>
          <w:szCs w:val="22"/>
          <w:lang w:val="cs-CZ"/>
        </w:rPr>
        <w:t>Výstava také nabídne něco z osobních cenností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 xml:space="preserve"> vojáků, které se podařil</w:t>
      </w:r>
      <w:r>
        <w:rPr>
          <w:rFonts w:ascii="Arial" w:eastAsia="Arial Black" w:hAnsi="Arial" w:cs="Arial"/>
          <w:sz w:val="22"/>
          <w:szCs w:val="22"/>
          <w:lang w:val="cs-CZ"/>
        </w:rPr>
        <w:t>o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 xml:space="preserve"> zachovat zejména </w:t>
      </w:r>
      <w:r w:rsidR="00D11829">
        <w:rPr>
          <w:rFonts w:ascii="Arial" w:eastAsia="Arial Black" w:hAnsi="Arial" w:cs="Arial"/>
          <w:sz w:val="22"/>
          <w:szCs w:val="22"/>
          <w:lang w:val="cs-CZ"/>
        </w:rPr>
        <w:t xml:space="preserve">díky 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>rodinným příslušníkům a dotvá</w:t>
      </w:r>
      <w:r>
        <w:rPr>
          <w:rFonts w:ascii="Arial" w:eastAsia="Arial Black" w:hAnsi="Arial" w:cs="Arial"/>
          <w:sz w:val="22"/>
          <w:szCs w:val="22"/>
          <w:lang w:val="cs-CZ"/>
        </w:rPr>
        <w:t xml:space="preserve">řejí </w:t>
      </w:r>
      <w:r w:rsidR="00F7308F" w:rsidRPr="00125C1D">
        <w:rPr>
          <w:rFonts w:ascii="Arial" w:eastAsia="Arial Black" w:hAnsi="Arial" w:cs="Arial"/>
          <w:sz w:val="22"/>
          <w:szCs w:val="22"/>
          <w:lang w:val="cs-CZ"/>
        </w:rPr>
        <w:t xml:space="preserve">tak obraz tehdejších nelehkých osudů.   </w:t>
      </w:r>
    </w:p>
    <w:p w:rsidR="00C05C35" w:rsidRPr="009500DC" w:rsidRDefault="008D39D5" w:rsidP="009500DC">
      <w:pPr>
        <w:pStyle w:val="Bezmezer"/>
        <w:tabs>
          <w:tab w:val="left" w:pos="8592"/>
        </w:tabs>
        <w:jc w:val="both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Výstav</w:t>
      </w:r>
      <w:bookmarkStart w:id="0" w:name="_GoBack"/>
      <w:bookmarkEnd w:id="0"/>
      <w:r>
        <w:rPr>
          <w:rFonts w:ascii="Arial" w:hAnsi="Arial" w:cs="Arial"/>
          <w:lang w:val="cs-CZ"/>
        </w:rPr>
        <w:t>a</w:t>
      </w:r>
      <w:proofErr w:type="gramEnd"/>
      <w:r>
        <w:rPr>
          <w:rFonts w:ascii="Arial" w:hAnsi="Arial" w:cs="Arial"/>
          <w:lang w:val="cs-CZ"/>
        </w:rPr>
        <w:t xml:space="preserve"> 100 let 43. pěšího pluku </w:t>
      </w:r>
      <w:r w:rsidR="00DB1851">
        <w:rPr>
          <w:rFonts w:ascii="Arial" w:hAnsi="Arial" w:cs="Arial"/>
          <w:lang w:val="cs-CZ"/>
        </w:rPr>
        <w:t xml:space="preserve">je v </w:t>
      </w:r>
      <w:r w:rsidR="0062769F" w:rsidRPr="00125C1D">
        <w:rPr>
          <w:rFonts w:ascii="Arial" w:hAnsi="Arial" w:cs="Arial"/>
          <w:lang w:val="cs-CZ"/>
        </w:rPr>
        <w:t>Techni</w:t>
      </w:r>
      <w:r w:rsidR="005F0763">
        <w:rPr>
          <w:rFonts w:ascii="Arial" w:hAnsi="Arial" w:cs="Arial"/>
          <w:lang w:val="cs-CZ"/>
        </w:rPr>
        <w:t xml:space="preserve">cké muzeum v Brně </w:t>
      </w:r>
      <w:r w:rsidR="00DB1851">
        <w:rPr>
          <w:rFonts w:ascii="Arial" w:hAnsi="Arial" w:cs="Arial"/>
          <w:lang w:val="cs-CZ"/>
        </w:rPr>
        <w:t>přístupná</w:t>
      </w:r>
      <w:r w:rsidR="005F0763">
        <w:rPr>
          <w:rFonts w:ascii="Arial" w:hAnsi="Arial" w:cs="Arial"/>
          <w:lang w:val="cs-CZ"/>
        </w:rPr>
        <w:t xml:space="preserve"> do 18. října</w:t>
      </w:r>
      <w:r w:rsidR="006377A1">
        <w:rPr>
          <w:rFonts w:ascii="Arial" w:hAnsi="Arial" w:cs="Arial"/>
          <w:lang w:val="cs-CZ"/>
        </w:rPr>
        <w:t xml:space="preserve"> </w:t>
      </w:r>
      <w:proofErr w:type="gramStart"/>
      <w:r w:rsidR="006377A1">
        <w:rPr>
          <w:rFonts w:ascii="Arial" w:hAnsi="Arial" w:cs="Arial"/>
          <w:lang w:val="cs-CZ"/>
        </w:rPr>
        <w:t>2020.</w:t>
      </w:r>
      <w:proofErr w:type="gramEnd"/>
    </w:p>
    <w:p w:rsidR="009500DC" w:rsidRPr="008D39D5" w:rsidRDefault="0062769F" w:rsidP="008D39D5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Kontakt pro média:</w:t>
      </w:r>
      <w:r w:rsidR="009500DC" w:rsidRPr="009500DC">
        <w:rPr>
          <w:rFonts w:ascii="Arial Black" w:hAnsi="Arial Black"/>
          <w:noProof/>
          <w:lang w:val="cs-CZ"/>
        </w:rPr>
        <w:t xml:space="preserve"> </w:t>
      </w:r>
    </w:p>
    <w:p w:rsidR="008D39D5" w:rsidRDefault="008D39D5" w:rsidP="008D39D5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Josef Večeřa | náměstek ředitele Technického muzea v Brně</w:t>
      </w:r>
    </w:p>
    <w:p w:rsidR="008D39D5" w:rsidRDefault="00E70DE3" w:rsidP="008D39D5">
      <w:pPr>
        <w:pStyle w:val="Bezmezer"/>
        <w:spacing w:line="240" w:lineRule="auto"/>
        <w:rPr>
          <w:rFonts w:ascii="Arial" w:eastAsia="Arial" w:hAnsi="Arial" w:cs="Arial"/>
        </w:rPr>
      </w:pPr>
      <w:hyperlink r:id="rId8" w:history="1">
        <w:r w:rsidR="008D39D5" w:rsidRPr="004E2E93">
          <w:rPr>
            <w:rStyle w:val="Hypertextovodkaz"/>
            <w:rFonts w:ascii="Arial" w:eastAsia="Arial" w:hAnsi="Arial" w:cs="Arial"/>
            <w:u w:color="0000FF"/>
          </w:rPr>
          <w:t>vecera@tmbrno.cz</w:t>
        </w:r>
      </w:hyperlink>
      <w:r w:rsidR="008D39D5">
        <w:rPr>
          <w:rFonts w:ascii="Arial" w:hAnsi="Arial"/>
        </w:rPr>
        <w:t xml:space="preserve"> | 774 060 620 </w:t>
      </w:r>
    </w:p>
    <w:p w:rsidR="009500DC" w:rsidRDefault="009500DC" w:rsidP="0062769F">
      <w:pPr>
        <w:pStyle w:val="Bezmezer"/>
        <w:spacing w:line="240" w:lineRule="auto"/>
        <w:rPr>
          <w:rFonts w:ascii="Arial" w:eastAsia="Arial" w:hAnsi="Arial" w:cs="Arial"/>
        </w:rPr>
      </w:pPr>
    </w:p>
    <w:p w:rsidR="0062769F" w:rsidRDefault="0062769F" w:rsidP="0062769F">
      <w:pPr>
        <w:pStyle w:val="Nadpis1"/>
        <w:spacing w:before="0" w:after="0"/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000000"/>
        </w:rPr>
      </w:pPr>
    </w:p>
    <w:p w:rsidR="0062769F" w:rsidRDefault="008D39D5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2DDECA03" wp14:editId="56F8A4AA">
            <wp:simplePos x="0" y="0"/>
            <wp:positionH relativeFrom="margin">
              <wp:posOffset>1007110</wp:posOffset>
            </wp:positionH>
            <wp:positionV relativeFrom="margin">
              <wp:posOffset>6076315</wp:posOffset>
            </wp:positionV>
            <wp:extent cx="3785870" cy="1440180"/>
            <wp:effectExtent l="0" t="0" r="508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i_pluk_uvod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35" w:rsidRDefault="00C05C35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:rsidR="00C05C35" w:rsidRDefault="00C05C35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:rsidR="00C05C35" w:rsidRDefault="00C05C35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:rsidR="00D16198" w:rsidRDefault="00D16198">
      <w:pPr>
        <w:pStyle w:val="Nadpis1"/>
        <w:spacing w:before="0" w:after="0"/>
      </w:pPr>
    </w:p>
    <w:sectPr w:rsidR="00D16198">
      <w:headerReference w:type="default" r:id="rId10"/>
      <w:footerReference w:type="default" r:id="rId11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E3" w:rsidRDefault="00E70DE3">
      <w:r>
        <w:separator/>
      </w:r>
    </w:p>
  </w:endnote>
  <w:endnote w:type="continuationSeparator" w:id="0">
    <w:p w:rsidR="00E70DE3" w:rsidRDefault="00E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E3" w:rsidRDefault="00E70DE3">
      <w:r>
        <w:separator/>
      </w:r>
    </w:p>
  </w:footnote>
  <w:footnote w:type="continuationSeparator" w:id="0">
    <w:p w:rsidR="00E70DE3" w:rsidRDefault="00E7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F42052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26</w:t>
    </w:r>
    <w:r w:rsidR="004A1D20">
      <w:rPr>
        <w:rFonts w:ascii="Arial" w:hAnsi="Arial"/>
        <w:b w:val="0"/>
        <w:bCs w:val="0"/>
        <w:color w:val="404040"/>
        <w:sz w:val="20"/>
        <w:szCs w:val="20"/>
        <w:u w:color="404040"/>
      </w:rPr>
      <w:t>. 6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71A4B"/>
    <w:rsid w:val="000B19E4"/>
    <w:rsid w:val="000B5233"/>
    <w:rsid w:val="00125C1D"/>
    <w:rsid w:val="001A60D4"/>
    <w:rsid w:val="00280C3D"/>
    <w:rsid w:val="00396BEB"/>
    <w:rsid w:val="00416DE4"/>
    <w:rsid w:val="00432D3A"/>
    <w:rsid w:val="004A1D20"/>
    <w:rsid w:val="005E7B31"/>
    <w:rsid w:val="005F0763"/>
    <w:rsid w:val="00615F04"/>
    <w:rsid w:val="0062769F"/>
    <w:rsid w:val="006377A1"/>
    <w:rsid w:val="006B41DD"/>
    <w:rsid w:val="006F4658"/>
    <w:rsid w:val="007708CD"/>
    <w:rsid w:val="007A6BFC"/>
    <w:rsid w:val="007E10B0"/>
    <w:rsid w:val="007E183C"/>
    <w:rsid w:val="007F577D"/>
    <w:rsid w:val="008B7BC1"/>
    <w:rsid w:val="008D39D5"/>
    <w:rsid w:val="008F3AA3"/>
    <w:rsid w:val="00902F55"/>
    <w:rsid w:val="009500DC"/>
    <w:rsid w:val="00997BD4"/>
    <w:rsid w:val="009F188E"/>
    <w:rsid w:val="00A3047A"/>
    <w:rsid w:val="00C05C35"/>
    <w:rsid w:val="00D11829"/>
    <w:rsid w:val="00D16198"/>
    <w:rsid w:val="00D57B00"/>
    <w:rsid w:val="00DB1851"/>
    <w:rsid w:val="00E4467E"/>
    <w:rsid w:val="00E50CAC"/>
    <w:rsid w:val="00E70DE3"/>
    <w:rsid w:val="00EA5D0B"/>
    <w:rsid w:val="00F42052"/>
    <w:rsid w:val="00F47B38"/>
    <w:rsid w:val="00F7308F"/>
    <w:rsid w:val="00F95AA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A1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D2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e24kjd">
    <w:name w:val="e24kjd"/>
    <w:basedOn w:val="Standardnpsmoodstavce"/>
    <w:rsid w:val="001A60D4"/>
  </w:style>
  <w:style w:type="paragraph" w:styleId="Textbubliny">
    <w:name w:val="Balloon Text"/>
    <w:basedOn w:val="Normln"/>
    <w:link w:val="TextbublinyChar"/>
    <w:uiPriority w:val="99"/>
    <w:semiHidden/>
    <w:unhideWhenUsed/>
    <w:rsid w:val="00950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DC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A1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D2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e24kjd">
    <w:name w:val="e24kjd"/>
    <w:basedOn w:val="Standardnpsmoodstavce"/>
    <w:rsid w:val="001A60D4"/>
  </w:style>
  <w:style w:type="paragraph" w:styleId="Textbubliny">
    <w:name w:val="Balloon Text"/>
    <w:basedOn w:val="Normln"/>
    <w:link w:val="TextbublinyChar"/>
    <w:uiPriority w:val="99"/>
    <w:semiHidden/>
    <w:unhideWhenUsed/>
    <w:rsid w:val="00950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DC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era@tm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2020-06-29T11:24:00Z</cp:lastPrinted>
  <dcterms:created xsi:type="dcterms:W3CDTF">2020-06-26T07:20:00Z</dcterms:created>
  <dcterms:modified xsi:type="dcterms:W3CDTF">2020-06-29T11:24:00Z</dcterms:modified>
</cp:coreProperties>
</file>